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C1B1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</w:p>
    <w:p w:rsidR="00AE7A3E" w:rsidRDefault="00AE7A3E" w:rsidP="00326EEB">
      <w:pPr>
        <w:rPr>
          <w:szCs w:val="28"/>
        </w:rPr>
      </w:pPr>
    </w:p>
    <w:p w:rsidR="00016485" w:rsidRDefault="00AE7A3E" w:rsidP="00016485">
      <w:pPr>
        <w:rPr>
          <w:szCs w:val="28"/>
        </w:rPr>
      </w:pPr>
      <w:r>
        <w:rPr>
          <w:szCs w:val="28"/>
        </w:rPr>
        <w:t xml:space="preserve">   26.02.2021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3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7A2A52" w:rsidP="004E4CA8">
      <w:pPr>
        <w:jc w:val="both"/>
        <w:rPr>
          <w:rFonts w:ascii="Arial" w:hAnsi="Arial"/>
          <w:color w:val="auto"/>
          <w:szCs w:val="28"/>
        </w:rPr>
      </w:pPr>
      <w:bookmarkStart w:id="0" w:name="_GoBack"/>
      <w:r>
        <w:rPr>
          <w:szCs w:val="28"/>
        </w:rPr>
        <w:t xml:space="preserve"> </w:t>
      </w:r>
      <w:r w:rsidR="00660431" w:rsidRPr="00660431">
        <w:rPr>
          <w:szCs w:val="28"/>
        </w:rPr>
        <w:t>О вне</w:t>
      </w:r>
      <w:r w:rsidR="00194A83">
        <w:rPr>
          <w:szCs w:val="28"/>
        </w:rPr>
        <w:t>сении изменений и дополнений в У</w:t>
      </w:r>
      <w:r w:rsidR="00660431" w:rsidRPr="00660431">
        <w:rPr>
          <w:szCs w:val="28"/>
        </w:rPr>
        <w:t>став Благовещенского сельсовета Ирбей</w:t>
      </w:r>
      <w:r>
        <w:rPr>
          <w:szCs w:val="28"/>
        </w:rPr>
        <w:t>ского района Красноярского края.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bookmarkEnd w:id="0"/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7A2A52">
        <w:rPr>
          <w:szCs w:val="28"/>
        </w:rPr>
        <w:t>В целях приведения У</w:t>
      </w:r>
      <w:r w:rsidR="00660431" w:rsidRPr="00660431">
        <w:rPr>
          <w:szCs w:val="28"/>
        </w:rPr>
        <w:t xml:space="preserve">става Благовещенского сельсовета Ирбейского района Красноярского края в соответствие с </w:t>
      </w:r>
      <w:r w:rsidR="007A2A52">
        <w:rPr>
          <w:szCs w:val="28"/>
        </w:rPr>
        <w:t xml:space="preserve">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</w:t>
      </w:r>
      <w:r w:rsidR="007A2A52" w:rsidRPr="00660431">
        <w:rPr>
          <w:szCs w:val="28"/>
        </w:rPr>
        <w:t>Благовещенского сельсовета Ирбейского района Красноярского края</w:t>
      </w:r>
      <w:r w:rsidR="00660431" w:rsidRPr="00660431">
        <w:rPr>
          <w:szCs w:val="28"/>
        </w:rPr>
        <w:t>, Благовещенский сельский Совет депутатов РЕШИЛ:</w:t>
      </w:r>
    </w:p>
    <w:p w:rsidR="007A2A52" w:rsidRPr="00F40CAC" w:rsidRDefault="00660431" w:rsidP="007A2A52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1. </w:t>
      </w:r>
      <w:r w:rsidR="007A2A52" w:rsidRPr="00F40CAC">
        <w:rPr>
          <w:szCs w:val="28"/>
        </w:rPr>
        <w:t>Внести в Устав Благовещенского сельсовета Ирбейского района Красноярского края следующие изменения</w:t>
      </w:r>
      <w:r w:rsidR="007A2A52">
        <w:rPr>
          <w:szCs w:val="28"/>
        </w:rPr>
        <w:t xml:space="preserve"> и дополнения</w:t>
      </w:r>
      <w:r w:rsidR="007A2A52" w:rsidRPr="00F40CAC">
        <w:rPr>
          <w:szCs w:val="28"/>
        </w:rPr>
        <w:t>.</w:t>
      </w:r>
    </w:p>
    <w:p w:rsidR="007A2A52" w:rsidRPr="00F40CAC" w:rsidRDefault="007A2A52" w:rsidP="007A2A52">
      <w:pPr>
        <w:ind w:firstLine="708"/>
        <w:jc w:val="both"/>
        <w:rPr>
          <w:b/>
          <w:szCs w:val="28"/>
        </w:rPr>
      </w:pPr>
      <w:r w:rsidRPr="00F40CAC">
        <w:rPr>
          <w:b/>
          <w:szCs w:val="28"/>
        </w:rPr>
        <w:t>1.1 статью 2  дополнить текстом следующего содержания</w:t>
      </w:r>
      <w:r>
        <w:rPr>
          <w:b/>
          <w:szCs w:val="28"/>
        </w:rPr>
        <w:t>:</w:t>
      </w:r>
    </w:p>
    <w:p w:rsidR="007A2A52" w:rsidRPr="00F40CAC" w:rsidRDefault="007A2A52" w:rsidP="007A2A52">
      <w:pPr>
        <w:ind w:firstLine="708"/>
        <w:jc w:val="both"/>
        <w:rPr>
          <w:szCs w:val="28"/>
        </w:rPr>
      </w:pPr>
      <w:r w:rsidRPr="00F40CAC">
        <w:rPr>
          <w:szCs w:val="28"/>
        </w:rPr>
        <w:t>Полное наименование муниципального образования- «сельское поселение Благовещенский сельсовет Ирбейского муниципального района Красноярского края»</w:t>
      </w:r>
    </w:p>
    <w:p w:rsidR="007A2A52" w:rsidRPr="00F40CAC" w:rsidRDefault="007A2A52" w:rsidP="007A2A52">
      <w:pPr>
        <w:ind w:firstLine="708"/>
        <w:jc w:val="both"/>
        <w:rPr>
          <w:szCs w:val="28"/>
        </w:rPr>
      </w:pPr>
      <w:r w:rsidRPr="00F40CAC">
        <w:rPr>
          <w:szCs w:val="28"/>
        </w:rPr>
        <w:t>Сокращенное наименование муниципального образования – Благовещенский сельсовет Ирбейского района Красноярского края», «Благовещенский сельсовет»</w:t>
      </w:r>
    </w:p>
    <w:p w:rsidR="007A2A52" w:rsidRPr="00F40CAC" w:rsidRDefault="007A2A52" w:rsidP="007A2A52">
      <w:pPr>
        <w:ind w:firstLine="708"/>
        <w:jc w:val="both"/>
        <w:rPr>
          <w:szCs w:val="28"/>
        </w:rPr>
      </w:pPr>
      <w:r w:rsidRPr="00F40CAC">
        <w:rPr>
          <w:szCs w:val="28"/>
        </w:rPr>
        <w:t>Полное и сокращенное наименование муниципального образования равнозначны.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t>1.2 в статье 6: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t>- пункт 1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t>- дополнить пунктом 9 следующего содержания: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9" w:history="1">
        <w:r w:rsidRPr="00F40CAC">
          <w:rPr>
            <w:rStyle w:val="ad"/>
            <w:szCs w:val="28"/>
          </w:rPr>
          <w:t>http://pravo.minjust.ru</w:t>
        </w:r>
      </w:hyperlink>
      <w:r w:rsidRPr="00F40CAC">
        <w:rPr>
          <w:szCs w:val="28"/>
        </w:rPr>
        <w:t xml:space="preserve">, </w:t>
      </w:r>
      <w:hyperlink r:id="rId10" w:history="1">
        <w:r w:rsidRPr="00F40CAC">
          <w:rPr>
            <w:rStyle w:val="ad"/>
            <w:szCs w:val="28"/>
          </w:rPr>
          <w:t>http://право-минюст.рф</w:t>
        </w:r>
      </w:hyperlink>
      <w:r w:rsidRPr="00F40CAC">
        <w:rPr>
          <w:szCs w:val="28"/>
        </w:rPr>
        <w:t>, регистрация в качестве сетевого издания Эл № ФС77-72471 от 05.03.2018).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7A2A52">
        <w:rPr>
          <w:b/>
          <w:szCs w:val="28"/>
        </w:rPr>
        <w:t>1.3 пункт 2 статьи 3.1</w:t>
      </w:r>
      <w:r w:rsidRPr="00F40CAC">
        <w:rPr>
          <w:b/>
          <w:szCs w:val="28"/>
        </w:rPr>
        <w:t xml:space="preserve">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t>1.4. статью 7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t>1.5 абзац первый пункта 10 статьи 12 изложить в следующей редакции:</w:t>
      </w:r>
    </w:p>
    <w:p w:rsidR="007A2A52" w:rsidRPr="00F40CAC" w:rsidRDefault="007A2A52" w:rsidP="007A2A52">
      <w:pPr>
        <w:tabs>
          <w:tab w:val="num" w:pos="851"/>
        </w:tabs>
        <w:ind w:right="-1" w:firstLine="709"/>
        <w:jc w:val="both"/>
        <w:rPr>
          <w:szCs w:val="28"/>
        </w:rPr>
      </w:pPr>
      <w:r w:rsidRPr="00F40CAC">
        <w:rPr>
          <w:szCs w:val="28"/>
        </w:rPr>
        <w:t>«10. Итоги голосования и принятое на местном референдуме решение подлежат обязательному опубликованию (обнародованию).»;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</w:rPr>
        <w:lastRenderedPageBreak/>
        <w:t>1.6 пункт 1 статьи 13 дополнить абзацем вторым следующего содержания: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«Решение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7A2A52">
        <w:rPr>
          <w:b/>
          <w:szCs w:val="28"/>
        </w:rPr>
        <w:t>1.7</w:t>
      </w:r>
      <w:r w:rsidRPr="00F40CAC">
        <w:rPr>
          <w:szCs w:val="28"/>
        </w:rPr>
        <w:t xml:space="preserve"> </w:t>
      </w:r>
      <w:r w:rsidRPr="00F40CAC">
        <w:rPr>
          <w:b/>
          <w:szCs w:val="28"/>
        </w:rPr>
        <w:t>статью 14 изложить в следующей редакции:</w:t>
      </w:r>
    </w:p>
    <w:p w:rsidR="007A2A52" w:rsidRPr="00F40CAC" w:rsidRDefault="007A2A52" w:rsidP="007A2A52">
      <w:pPr>
        <w:tabs>
          <w:tab w:val="left" w:pos="0"/>
        </w:tabs>
        <w:ind w:right="-1" w:firstLine="709"/>
        <w:jc w:val="both"/>
        <w:rPr>
          <w:b/>
          <w:bCs/>
          <w:szCs w:val="28"/>
        </w:rPr>
      </w:pPr>
      <w:r w:rsidRPr="00F40CAC">
        <w:rPr>
          <w:b/>
          <w:bCs/>
          <w:szCs w:val="28"/>
        </w:rPr>
        <w:t xml:space="preserve">«Статья 14. Голосование по отзыву депутата Совета депутатов муниципального образования 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Указанные обстоятельства должны быть подтверждены в судебном порядке.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депутатов. 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 xml:space="preserve"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7A2A52">
        <w:rPr>
          <w:b/>
          <w:bCs/>
          <w:szCs w:val="28"/>
        </w:rPr>
        <w:t>1.8</w:t>
      </w:r>
      <w:r w:rsidRPr="00F40CAC">
        <w:rPr>
          <w:bCs/>
          <w:szCs w:val="28"/>
        </w:rPr>
        <w:t xml:space="preserve"> </w:t>
      </w:r>
      <w:r w:rsidRPr="00F40CAC">
        <w:rPr>
          <w:b/>
          <w:bCs/>
          <w:szCs w:val="28"/>
        </w:rPr>
        <w:t>пункты 2, 3 статьи 15 изложить в следующей редакции: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Cs w:val="28"/>
          <w:lang w:eastAsia="en-US"/>
        </w:rPr>
      </w:pPr>
      <w:r w:rsidRPr="00F40CAC">
        <w:rPr>
          <w:rFonts w:eastAsia="Calibri"/>
          <w:bCs/>
          <w:szCs w:val="28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7A2A52" w:rsidRPr="00F40CAC" w:rsidRDefault="007A2A52" w:rsidP="007A2A52">
      <w:pPr>
        <w:tabs>
          <w:tab w:val="left" w:pos="426"/>
        </w:tabs>
        <w:ind w:right="-1" w:firstLine="709"/>
        <w:jc w:val="both"/>
        <w:rPr>
          <w:rFonts w:eastAsia="Calibri"/>
          <w:szCs w:val="28"/>
          <w:lang w:eastAsia="en-US"/>
        </w:rPr>
      </w:pPr>
      <w:r w:rsidRPr="00F40CAC">
        <w:rPr>
          <w:rFonts w:eastAsia="Calibri"/>
          <w:szCs w:val="28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7A2A52" w:rsidRPr="00F40CAC" w:rsidRDefault="007A2A52" w:rsidP="007A2A52">
      <w:pPr>
        <w:tabs>
          <w:tab w:val="left" w:pos="1200"/>
        </w:tabs>
        <w:ind w:right="-1" w:firstLine="709"/>
        <w:jc w:val="both"/>
        <w:rPr>
          <w:b/>
          <w:bCs/>
          <w:szCs w:val="28"/>
        </w:rPr>
      </w:pPr>
      <w:r w:rsidRPr="007A2A52">
        <w:rPr>
          <w:rFonts w:eastAsia="Calibri"/>
          <w:b/>
          <w:szCs w:val="28"/>
          <w:lang w:eastAsia="en-US"/>
        </w:rPr>
        <w:lastRenderedPageBreak/>
        <w:t>1.9</w:t>
      </w:r>
      <w:r w:rsidRPr="00F40CAC">
        <w:rPr>
          <w:rFonts w:eastAsia="Calibri"/>
          <w:szCs w:val="28"/>
          <w:lang w:eastAsia="en-US"/>
        </w:rPr>
        <w:t xml:space="preserve"> </w:t>
      </w:r>
      <w:r w:rsidRPr="00F40CAC">
        <w:rPr>
          <w:b/>
          <w:bCs/>
          <w:szCs w:val="28"/>
        </w:rPr>
        <w:t>статью 16 изложить в следующей редакции:</w:t>
      </w:r>
    </w:p>
    <w:p w:rsidR="007A2A52" w:rsidRPr="00F40CAC" w:rsidRDefault="007A2A52" w:rsidP="007A2A52">
      <w:pPr>
        <w:ind w:right="-1" w:firstLine="709"/>
        <w:jc w:val="both"/>
        <w:rPr>
          <w:b/>
          <w:bCs/>
          <w:szCs w:val="28"/>
        </w:rPr>
      </w:pPr>
      <w:r w:rsidRPr="00F40CAC">
        <w:rPr>
          <w:b/>
          <w:bCs/>
          <w:szCs w:val="28"/>
        </w:rPr>
        <w:t>«Статья 16. Правотворческая инициатива граждан</w:t>
      </w:r>
    </w:p>
    <w:p w:rsidR="007A2A52" w:rsidRPr="00F40CAC" w:rsidRDefault="007A2A52" w:rsidP="007A2A52">
      <w:pPr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7A2A52" w:rsidRPr="00F40CAC" w:rsidRDefault="007A2A52" w:rsidP="007A2A52">
      <w:pPr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7A2A52" w:rsidRPr="00F40CAC" w:rsidRDefault="007A2A52" w:rsidP="007A2A52">
      <w:pPr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7A2A52" w:rsidRPr="00F40CAC" w:rsidRDefault="007A2A52" w:rsidP="007A2A52">
      <w:pPr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7A2A52" w:rsidRPr="00F40CAC" w:rsidRDefault="007A2A52" w:rsidP="007A2A52">
      <w:pPr>
        <w:ind w:right="-1" w:firstLine="709"/>
        <w:jc w:val="both"/>
        <w:rPr>
          <w:bCs/>
          <w:szCs w:val="28"/>
        </w:rPr>
      </w:pPr>
      <w:r w:rsidRPr="00F40CAC">
        <w:rPr>
          <w:bCs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7A2A52" w:rsidRPr="00F40CAC" w:rsidRDefault="007A2A52" w:rsidP="007A2A52">
      <w:pPr>
        <w:tabs>
          <w:tab w:val="left" w:pos="1200"/>
        </w:tabs>
        <w:ind w:right="-1" w:firstLine="709"/>
        <w:jc w:val="both"/>
        <w:rPr>
          <w:szCs w:val="28"/>
        </w:rPr>
      </w:pPr>
      <w:r w:rsidRPr="007A2A52">
        <w:rPr>
          <w:b/>
          <w:bCs/>
          <w:szCs w:val="28"/>
        </w:rPr>
        <w:t>1.10</w:t>
      </w:r>
      <w:r w:rsidRPr="00F40CAC">
        <w:rPr>
          <w:bCs/>
          <w:szCs w:val="28"/>
        </w:rPr>
        <w:t xml:space="preserve"> </w:t>
      </w:r>
      <w:r w:rsidRPr="00F40CAC">
        <w:rPr>
          <w:b/>
          <w:bCs/>
          <w:szCs w:val="28"/>
        </w:rPr>
        <w:t xml:space="preserve">в подпункте 1 пункта 2 статьи 17 слово </w:t>
      </w:r>
      <w:r w:rsidRPr="007A2A52">
        <w:rPr>
          <w:b/>
          <w:szCs w:val="28"/>
        </w:rPr>
        <w:t>«устава»</w:t>
      </w:r>
      <w:r w:rsidRPr="00F40CAC">
        <w:rPr>
          <w:b/>
          <w:bCs/>
          <w:szCs w:val="28"/>
        </w:rPr>
        <w:t xml:space="preserve"> заменить словом </w:t>
      </w:r>
      <w:r w:rsidRPr="007A2A52">
        <w:rPr>
          <w:b/>
          <w:szCs w:val="28"/>
        </w:rPr>
        <w:t>«Устава»;</w:t>
      </w:r>
    </w:p>
    <w:p w:rsidR="007A2A52" w:rsidRPr="00F40CAC" w:rsidRDefault="007A2A52" w:rsidP="007A2A52">
      <w:pPr>
        <w:tabs>
          <w:tab w:val="left" w:pos="1200"/>
        </w:tabs>
        <w:ind w:right="-1" w:firstLine="709"/>
        <w:jc w:val="both"/>
        <w:rPr>
          <w:bCs/>
          <w:szCs w:val="28"/>
        </w:rPr>
      </w:pPr>
      <w:r w:rsidRPr="007A2A52">
        <w:rPr>
          <w:b/>
          <w:szCs w:val="28"/>
        </w:rPr>
        <w:t>1.11</w:t>
      </w:r>
      <w:r w:rsidRPr="00F40CAC">
        <w:rPr>
          <w:szCs w:val="28"/>
        </w:rPr>
        <w:t xml:space="preserve"> </w:t>
      </w:r>
      <w:r w:rsidRPr="00F40CAC">
        <w:rPr>
          <w:b/>
          <w:bCs/>
          <w:szCs w:val="28"/>
        </w:rPr>
        <w:t xml:space="preserve">25. в наименовании статьи 24 слова </w:t>
      </w:r>
      <w:r w:rsidRPr="007A2A52">
        <w:rPr>
          <w:b/>
          <w:bCs/>
          <w:szCs w:val="28"/>
        </w:rPr>
        <w:t>«Общие собрания»</w:t>
      </w:r>
      <w:r w:rsidRPr="00F40CAC">
        <w:rPr>
          <w:b/>
          <w:bCs/>
          <w:szCs w:val="28"/>
        </w:rPr>
        <w:t xml:space="preserve"> заменить словом </w:t>
      </w:r>
      <w:r w:rsidRPr="007A2A52">
        <w:rPr>
          <w:b/>
          <w:bCs/>
          <w:szCs w:val="28"/>
        </w:rPr>
        <w:t>«Собрания»;</w:t>
      </w:r>
    </w:p>
    <w:p w:rsidR="007A2A52" w:rsidRPr="00F40CAC" w:rsidRDefault="007A2A52" w:rsidP="007A2A52">
      <w:pPr>
        <w:tabs>
          <w:tab w:val="left" w:pos="1200"/>
        </w:tabs>
        <w:ind w:right="-1" w:firstLine="709"/>
        <w:jc w:val="both"/>
        <w:rPr>
          <w:bCs/>
          <w:szCs w:val="28"/>
        </w:rPr>
      </w:pPr>
      <w:r w:rsidRPr="007A2A52">
        <w:rPr>
          <w:b/>
          <w:bCs/>
          <w:szCs w:val="28"/>
        </w:rPr>
        <w:t>1.12</w:t>
      </w:r>
      <w:r w:rsidRPr="00F40CAC">
        <w:rPr>
          <w:bCs/>
          <w:szCs w:val="28"/>
        </w:rPr>
        <w:t xml:space="preserve"> </w:t>
      </w:r>
      <w:r w:rsidRPr="00F40CAC">
        <w:rPr>
          <w:b/>
          <w:bCs/>
          <w:szCs w:val="28"/>
        </w:rPr>
        <w:t xml:space="preserve">в пункте 1 статьи 25 слово </w:t>
      </w:r>
      <w:r w:rsidRPr="007A2A52">
        <w:rPr>
          <w:b/>
          <w:szCs w:val="28"/>
        </w:rPr>
        <w:t>«общих»</w:t>
      </w:r>
      <w:r w:rsidRPr="00F40CAC">
        <w:rPr>
          <w:b/>
          <w:bCs/>
          <w:szCs w:val="28"/>
        </w:rPr>
        <w:t xml:space="preserve">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  <w:shd w:val="clear" w:color="auto" w:fill="FFFFFF"/>
        </w:rPr>
      </w:pPr>
      <w:r w:rsidRPr="007A2A52">
        <w:rPr>
          <w:b/>
          <w:bCs/>
          <w:szCs w:val="28"/>
        </w:rPr>
        <w:t>1.13</w:t>
      </w:r>
      <w:r w:rsidRPr="00F40CAC">
        <w:rPr>
          <w:bCs/>
          <w:szCs w:val="28"/>
        </w:rPr>
        <w:t xml:space="preserve"> </w:t>
      </w:r>
      <w:r w:rsidRPr="00F40CAC">
        <w:rPr>
          <w:b/>
          <w:szCs w:val="28"/>
          <w:shd w:val="clear" w:color="auto" w:fill="FFFFFF"/>
        </w:rPr>
        <w:t>пункт 4 статьи 29 изложить в следующей редакции: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«4.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7A2A52">
        <w:rPr>
          <w:b/>
          <w:szCs w:val="28"/>
        </w:rPr>
        <w:t>1.14</w:t>
      </w:r>
      <w:r w:rsidRPr="00F40CAC">
        <w:rPr>
          <w:szCs w:val="28"/>
        </w:rPr>
        <w:t xml:space="preserve"> </w:t>
      </w:r>
      <w:r w:rsidRPr="00F40CAC">
        <w:rPr>
          <w:b/>
          <w:szCs w:val="28"/>
        </w:rPr>
        <w:t xml:space="preserve">в пункте 3 статьи 30 слова </w:t>
      </w:r>
      <w:r w:rsidRPr="00F40CAC">
        <w:rPr>
          <w:bCs/>
          <w:szCs w:val="28"/>
        </w:rPr>
        <w:t>«не менее 1/3 депутатов»</w:t>
      </w:r>
      <w:r w:rsidRPr="00F40CAC">
        <w:rPr>
          <w:b/>
          <w:szCs w:val="28"/>
        </w:rPr>
        <w:t xml:space="preserve"> заменить словами </w:t>
      </w:r>
      <w:r w:rsidRPr="00F40CAC">
        <w:rPr>
          <w:bCs/>
          <w:szCs w:val="28"/>
        </w:rPr>
        <w:t>«не менее 1/3 от</w:t>
      </w:r>
      <w:r w:rsidRPr="00F40CAC">
        <w:rPr>
          <w:b/>
          <w:szCs w:val="28"/>
        </w:rPr>
        <w:t xml:space="preserve"> </w:t>
      </w:r>
      <w:r w:rsidRPr="00F40CAC">
        <w:rPr>
          <w:szCs w:val="28"/>
        </w:rPr>
        <w:t>установленной численности депутатов»;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b/>
          <w:szCs w:val="28"/>
          <w:shd w:val="clear" w:color="auto" w:fill="FFFFFF"/>
        </w:rPr>
      </w:pPr>
      <w:r w:rsidRPr="007A2A52">
        <w:rPr>
          <w:b/>
          <w:szCs w:val="28"/>
        </w:rPr>
        <w:t>1.15</w:t>
      </w:r>
      <w:r w:rsidRPr="00F40CAC">
        <w:rPr>
          <w:szCs w:val="28"/>
        </w:rPr>
        <w:t xml:space="preserve"> </w:t>
      </w:r>
      <w:r w:rsidRPr="00F40CAC">
        <w:rPr>
          <w:b/>
          <w:szCs w:val="28"/>
          <w:shd w:val="clear" w:color="auto" w:fill="FFFFFF"/>
        </w:rPr>
        <w:t>в статье 34: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b/>
          <w:szCs w:val="28"/>
        </w:rPr>
      </w:pPr>
      <w:r w:rsidRPr="00F40CAC">
        <w:rPr>
          <w:b/>
          <w:szCs w:val="28"/>
          <w:shd w:val="clear" w:color="auto" w:fill="FFFFFF"/>
        </w:rPr>
        <w:t>-</w:t>
      </w:r>
      <w:r w:rsidRPr="00F40CAC">
        <w:rPr>
          <w:b/>
          <w:szCs w:val="28"/>
        </w:rPr>
        <w:t xml:space="preserve"> пункт 6 изложить в следующей редакции: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7A2A52">
        <w:rPr>
          <w:b/>
          <w:szCs w:val="28"/>
        </w:rPr>
        <w:t>1.16</w:t>
      </w:r>
      <w:r w:rsidRPr="00F40CAC">
        <w:rPr>
          <w:b/>
          <w:szCs w:val="28"/>
        </w:rPr>
        <w:t xml:space="preserve"> в статье 35:</w:t>
      </w:r>
    </w:p>
    <w:p w:rsidR="007A2A52" w:rsidRPr="00F40CAC" w:rsidRDefault="007A2A52" w:rsidP="007A2A52">
      <w:pPr>
        <w:ind w:firstLine="567"/>
        <w:jc w:val="both"/>
        <w:rPr>
          <w:szCs w:val="28"/>
        </w:rPr>
      </w:pPr>
      <w:r w:rsidRPr="00F40CAC">
        <w:rPr>
          <w:b/>
          <w:szCs w:val="28"/>
        </w:rPr>
        <w:t xml:space="preserve">- подпункт 1.1 пункта 1, начинающийся со слов </w:t>
      </w:r>
      <w:r w:rsidRPr="00F40CAC">
        <w:rPr>
          <w:szCs w:val="28"/>
        </w:rPr>
        <w:t xml:space="preserve">«1.1. Полномочия депутата прекращаются досрочно в случае …» </w:t>
      </w:r>
      <w:r w:rsidRPr="00F40CAC">
        <w:rPr>
          <w:b/>
          <w:bCs/>
          <w:szCs w:val="28"/>
        </w:rPr>
        <w:t>считать пунктом 8;</w:t>
      </w:r>
    </w:p>
    <w:p w:rsidR="007A2A52" w:rsidRPr="00F40CAC" w:rsidRDefault="007A2A52" w:rsidP="007A2A52">
      <w:pPr>
        <w:ind w:firstLine="567"/>
        <w:jc w:val="both"/>
        <w:rPr>
          <w:b/>
          <w:szCs w:val="28"/>
        </w:rPr>
      </w:pPr>
      <w:r w:rsidRPr="00F40CAC">
        <w:rPr>
          <w:b/>
          <w:szCs w:val="28"/>
        </w:rPr>
        <w:t xml:space="preserve">- подпункт 1.2 пункта 1, начинающийся со слов </w:t>
      </w:r>
      <w:r w:rsidRPr="00F40CAC">
        <w:rPr>
          <w:szCs w:val="28"/>
        </w:rPr>
        <w:t xml:space="preserve">«1.2. Полномочия депутата прекращаются досрочно в случае несоблюдения ограничений…» </w:t>
      </w:r>
      <w:r w:rsidRPr="00F40CAC">
        <w:rPr>
          <w:b/>
          <w:bCs/>
          <w:szCs w:val="28"/>
        </w:rPr>
        <w:t>считать пунктом 9</w:t>
      </w:r>
      <w:r w:rsidRPr="00F40CAC">
        <w:rPr>
          <w:b/>
          <w:szCs w:val="28"/>
        </w:rPr>
        <w:t>;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b/>
          <w:szCs w:val="28"/>
          <w:shd w:val="clear" w:color="auto" w:fill="FFFFFF"/>
        </w:rPr>
      </w:pPr>
      <w:r w:rsidRPr="007A2A52">
        <w:rPr>
          <w:b/>
          <w:szCs w:val="28"/>
        </w:rPr>
        <w:t>1.17 в статье 40</w:t>
      </w:r>
      <w:r w:rsidRPr="00F40CAC">
        <w:rPr>
          <w:szCs w:val="28"/>
        </w:rPr>
        <w:t xml:space="preserve"> </w:t>
      </w:r>
      <w:r w:rsidRPr="00F40CAC">
        <w:rPr>
          <w:b/>
          <w:szCs w:val="28"/>
          <w:shd w:val="clear" w:color="auto" w:fill="FFFFFF"/>
        </w:rPr>
        <w:t>пункт 6 изложить в следующей редакции:</w:t>
      </w:r>
    </w:p>
    <w:p w:rsidR="007A2A52" w:rsidRPr="00F40CAC" w:rsidRDefault="007A2A52" w:rsidP="007A2A52">
      <w:pPr>
        <w:ind w:right="-1" w:firstLine="709"/>
        <w:jc w:val="both"/>
        <w:rPr>
          <w:b/>
          <w:iCs/>
          <w:szCs w:val="28"/>
        </w:rPr>
      </w:pPr>
      <w:r w:rsidRPr="00F40CAC">
        <w:rPr>
          <w:szCs w:val="28"/>
        </w:rPr>
        <w:lastRenderedPageBreak/>
        <w:t xml:space="preserve">«6. </w:t>
      </w:r>
      <w:r w:rsidRPr="00F40CAC">
        <w:rPr>
          <w:iCs/>
          <w:szCs w:val="28"/>
        </w:rPr>
        <w:t xml:space="preserve">Гарантии осуществления полномочий главы </w:t>
      </w:r>
      <w:r w:rsidRPr="00F40CAC">
        <w:rPr>
          <w:szCs w:val="28"/>
        </w:rPr>
        <w:t xml:space="preserve">сельсовета </w:t>
      </w:r>
      <w:r w:rsidRPr="00F40CAC">
        <w:rPr>
          <w:iCs/>
          <w:szCs w:val="28"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  <w:shd w:val="clear" w:color="auto" w:fill="FFFFFF"/>
        </w:rPr>
      </w:pPr>
      <w:r w:rsidRPr="007A2A52">
        <w:rPr>
          <w:b/>
          <w:szCs w:val="28"/>
        </w:rPr>
        <w:t>1.18</w:t>
      </w:r>
      <w:r w:rsidRPr="00F40CAC">
        <w:rPr>
          <w:szCs w:val="28"/>
        </w:rPr>
        <w:t xml:space="preserve"> </w:t>
      </w:r>
      <w:r w:rsidRPr="00F40CAC">
        <w:rPr>
          <w:b/>
          <w:szCs w:val="28"/>
          <w:shd w:val="clear" w:color="auto" w:fill="FFFFFF"/>
        </w:rPr>
        <w:t>в статье 42: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  <w:shd w:val="clear" w:color="auto" w:fill="FFFFFF"/>
        </w:rPr>
      </w:pPr>
      <w:r w:rsidRPr="00F40CAC">
        <w:rPr>
          <w:b/>
          <w:szCs w:val="28"/>
          <w:shd w:val="clear" w:color="auto" w:fill="FFFFFF"/>
        </w:rPr>
        <w:t>- подпункт 9 пункта 1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  <w:shd w:val="clear" w:color="auto" w:fill="FFFFFF"/>
        </w:rPr>
      </w:pPr>
      <w:r w:rsidRPr="00F40CAC">
        <w:rPr>
          <w:b/>
          <w:szCs w:val="28"/>
          <w:shd w:val="clear" w:color="auto" w:fill="FFFFFF"/>
        </w:rPr>
        <w:t>- пункт 5 исключить;</w:t>
      </w:r>
    </w:p>
    <w:p w:rsidR="007A2A52" w:rsidRPr="00F40CAC" w:rsidRDefault="007A2A52" w:rsidP="007A2A52">
      <w:pPr>
        <w:ind w:right="-1" w:firstLine="709"/>
        <w:jc w:val="both"/>
        <w:rPr>
          <w:b/>
          <w:szCs w:val="28"/>
        </w:rPr>
      </w:pPr>
      <w:r w:rsidRPr="007A2A52">
        <w:rPr>
          <w:b/>
          <w:szCs w:val="28"/>
        </w:rPr>
        <w:t>1.19</w:t>
      </w:r>
      <w:r w:rsidRPr="00F40CAC">
        <w:rPr>
          <w:szCs w:val="28"/>
        </w:rPr>
        <w:t xml:space="preserve"> </w:t>
      </w:r>
      <w:r w:rsidRPr="00F40CAC">
        <w:rPr>
          <w:b/>
          <w:szCs w:val="28"/>
        </w:rPr>
        <w:t>статью 48 исключить;</w:t>
      </w:r>
    </w:p>
    <w:p w:rsidR="007A2A52" w:rsidRPr="00F40CAC" w:rsidRDefault="007A2A52" w:rsidP="007A2A52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2A52">
        <w:rPr>
          <w:rFonts w:ascii="Times New Roman" w:hAnsi="Times New Roman" w:cs="Times New Roman"/>
          <w:sz w:val="28"/>
          <w:szCs w:val="28"/>
        </w:rPr>
        <w:t>1.20</w:t>
      </w:r>
      <w:r w:rsidRPr="00F40C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CAC">
        <w:rPr>
          <w:rFonts w:ascii="Times New Roman" w:hAnsi="Times New Roman" w:cs="Times New Roman"/>
          <w:sz w:val="28"/>
          <w:szCs w:val="28"/>
        </w:rPr>
        <w:t>пункт 1 статьи 63 изложить в следующей редакции: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«1. Составление проекта бюджета основывается на: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прогнозе социально-экономического развития;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7A2A52" w:rsidRPr="00F40CAC" w:rsidRDefault="007A2A52" w:rsidP="007A2A52">
      <w:pPr>
        <w:ind w:right="-1" w:firstLine="709"/>
        <w:jc w:val="both"/>
        <w:rPr>
          <w:szCs w:val="28"/>
        </w:rPr>
      </w:pPr>
      <w:r w:rsidRPr="00F40CAC">
        <w:rPr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7A2A52" w:rsidRPr="00F40CAC" w:rsidRDefault="007A2A52" w:rsidP="007A2A52">
      <w:pPr>
        <w:autoSpaceDE w:val="0"/>
        <w:autoSpaceDN w:val="0"/>
        <w:adjustRightInd w:val="0"/>
        <w:ind w:right="-1" w:firstLine="709"/>
        <w:jc w:val="both"/>
        <w:rPr>
          <w:b/>
          <w:szCs w:val="28"/>
        </w:rPr>
      </w:pPr>
      <w:r w:rsidRPr="007A2A52">
        <w:rPr>
          <w:b/>
          <w:szCs w:val="28"/>
        </w:rPr>
        <w:t>1.21</w:t>
      </w:r>
      <w:r w:rsidRPr="00F40CAC">
        <w:rPr>
          <w:szCs w:val="28"/>
        </w:rPr>
        <w:t xml:space="preserve"> </w:t>
      </w:r>
      <w:r w:rsidRPr="00F40CAC">
        <w:rPr>
          <w:b/>
          <w:szCs w:val="28"/>
        </w:rPr>
        <w:t xml:space="preserve">в абзаце втором статьи 70 слова </w:t>
      </w:r>
      <w:r w:rsidRPr="00F40CAC">
        <w:rPr>
          <w:bCs/>
          <w:szCs w:val="28"/>
        </w:rPr>
        <w:t>«, Главу сельсовета»</w:t>
      </w:r>
      <w:r w:rsidRPr="00F40CAC">
        <w:rPr>
          <w:b/>
          <w:szCs w:val="28"/>
        </w:rPr>
        <w:t xml:space="preserve"> исключить;</w:t>
      </w:r>
    </w:p>
    <w:p w:rsidR="007A2A52" w:rsidRDefault="007A2A52" w:rsidP="007A2A52">
      <w:pPr>
        <w:ind w:firstLine="567"/>
        <w:jc w:val="both"/>
        <w:rPr>
          <w:szCs w:val="28"/>
        </w:rPr>
      </w:pPr>
    </w:p>
    <w:p w:rsidR="00660431" w:rsidRDefault="007A2A52" w:rsidP="007A2A5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660431" w:rsidRPr="00660431">
        <w:rPr>
          <w:szCs w:val="28"/>
        </w:rPr>
        <w:t>. Контроль за выполнением решения возложить на главу Благовещенского сельсовета Гуменко Д.Л.</w:t>
      </w:r>
    </w:p>
    <w:p w:rsidR="007A2A52" w:rsidRPr="00660431" w:rsidRDefault="007A2A52" w:rsidP="007A2A52">
      <w:pPr>
        <w:ind w:firstLine="567"/>
        <w:jc w:val="both"/>
        <w:rPr>
          <w:szCs w:val="28"/>
        </w:rPr>
      </w:pPr>
    </w:p>
    <w:p w:rsidR="00660431" w:rsidRDefault="007A2A52" w:rsidP="00660431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7A2A52">
        <w:rPr>
          <w:szCs w:val="28"/>
        </w:rPr>
        <w:t xml:space="preserve"> </w:t>
      </w:r>
      <w:r w:rsidRPr="00F40CAC">
        <w:rPr>
          <w:szCs w:val="28"/>
        </w:rPr>
        <w:t>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(обнародования)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F40CAC">
        <w:rPr>
          <w:szCs w:val="28"/>
          <w:lang w:val="en-US"/>
        </w:rPr>
        <w:t>http</w:t>
      </w:r>
      <w:r w:rsidRPr="00F40CAC">
        <w:rPr>
          <w:szCs w:val="28"/>
        </w:rPr>
        <w:t>://</w:t>
      </w:r>
      <w:r w:rsidRPr="00F40CAC">
        <w:rPr>
          <w:bCs/>
          <w:szCs w:val="28"/>
        </w:rPr>
        <w:t xml:space="preserve"> </w:t>
      </w:r>
      <w:r w:rsidRPr="00F40CAC">
        <w:rPr>
          <w:bCs/>
          <w:szCs w:val="28"/>
          <w:lang w:val="en-US"/>
        </w:rPr>
        <w:t>blago</w:t>
      </w:r>
      <w:r w:rsidRPr="00F40CAC">
        <w:rPr>
          <w:bCs/>
          <w:szCs w:val="28"/>
        </w:rPr>
        <w:t>-663667.</w:t>
      </w:r>
      <w:r w:rsidRPr="00F40CAC">
        <w:rPr>
          <w:bCs/>
          <w:szCs w:val="28"/>
          <w:lang w:val="en-US"/>
        </w:rPr>
        <w:t>bdu</w:t>
      </w:r>
      <w:r w:rsidRPr="00F40CAC">
        <w:rPr>
          <w:bCs/>
          <w:szCs w:val="28"/>
        </w:rPr>
        <w:t>.</w:t>
      </w:r>
      <w:r w:rsidRPr="00F40CAC">
        <w:rPr>
          <w:bCs/>
          <w:szCs w:val="28"/>
          <w:lang w:val="en-US"/>
        </w:rPr>
        <w:t>su</w:t>
      </w:r>
      <w:r w:rsidRPr="00F40CAC">
        <w:rPr>
          <w:szCs w:val="28"/>
        </w:rPr>
        <w:t>).</w:t>
      </w:r>
    </w:p>
    <w:p w:rsidR="007A2A52" w:rsidRPr="00660431" w:rsidRDefault="007A2A52" w:rsidP="00660431">
      <w:pPr>
        <w:ind w:firstLine="567"/>
        <w:jc w:val="both"/>
        <w:rPr>
          <w:szCs w:val="28"/>
        </w:rPr>
      </w:pPr>
    </w:p>
    <w:p w:rsidR="00660431" w:rsidRPr="00660431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>
        <w:rPr>
          <w:szCs w:val="28"/>
        </w:rPr>
        <w:t>4. Направить настоящие Решение в Управление Минестерства юстиции Российской Федерации по Красноярскому краю</w:t>
      </w:r>
    </w:p>
    <w:p w:rsidR="00660431" w:rsidRDefault="00660431" w:rsidP="00660431">
      <w:pPr>
        <w:jc w:val="both"/>
        <w:rPr>
          <w:szCs w:val="28"/>
        </w:rPr>
      </w:pPr>
    </w:p>
    <w:p w:rsidR="007A2A52" w:rsidRDefault="007A2A52" w:rsidP="00660431">
      <w:pPr>
        <w:jc w:val="both"/>
        <w:rPr>
          <w:szCs w:val="28"/>
        </w:rPr>
      </w:pPr>
    </w:p>
    <w:p w:rsidR="007A2A52" w:rsidRPr="00660431" w:rsidRDefault="007A2A52" w:rsidP="00660431">
      <w:pPr>
        <w:jc w:val="both"/>
        <w:rPr>
          <w:szCs w:val="28"/>
        </w:rPr>
      </w:pP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r w:rsidR="00CF6B52">
        <w:rPr>
          <w:spacing w:val="-2"/>
          <w:szCs w:val="28"/>
        </w:rPr>
        <w:t>Н.И.Боброва</w:t>
      </w:r>
      <w:r w:rsidRPr="00660431">
        <w:rPr>
          <w:spacing w:val="-2"/>
          <w:szCs w:val="28"/>
        </w:rPr>
        <w:t xml:space="preserve">                          ____________ Д.Л.Гуменко</w:t>
      </w:r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A52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6346"/>
    <w:rsid w:val="00B90F14"/>
    <w:rsid w:val="00B924EB"/>
    <w:rsid w:val="00BD47FC"/>
    <w:rsid w:val="00BE501B"/>
    <w:rsid w:val="00C36C4B"/>
    <w:rsid w:val="00CD5C6D"/>
    <w:rsid w:val="00CF6B52"/>
    <w:rsid w:val="00D61157"/>
    <w:rsid w:val="00D8405B"/>
    <w:rsid w:val="00D84764"/>
    <w:rsid w:val="00DF7E1C"/>
    <w:rsid w:val="00E10A32"/>
    <w:rsid w:val="00E11D43"/>
    <w:rsid w:val="00E33F76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1B305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06AF-077C-4021-BD77-7BB98E46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1129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2021-02-26T06:36:00Z</cp:lastPrinted>
  <dcterms:created xsi:type="dcterms:W3CDTF">2021-02-26T03:53:00Z</dcterms:created>
  <dcterms:modified xsi:type="dcterms:W3CDTF">2021-02-26T06:53:00Z</dcterms:modified>
</cp:coreProperties>
</file>